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8F" w:rsidRPr="007A628F" w:rsidRDefault="007A628F" w:rsidP="007A628F">
      <w:pPr>
        <w:rPr>
          <w:rFonts w:ascii="Calibri" w:hAnsi="Calibri"/>
          <w:b/>
          <w:sz w:val="22"/>
          <w:szCs w:val="22"/>
        </w:rPr>
      </w:pPr>
      <w:r w:rsidRPr="007A628F">
        <w:rPr>
          <w:rFonts w:ascii="Calibri" w:hAnsi="Calibri"/>
          <w:b/>
          <w:sz w:val="22"/>
          <w:szCs w:val="22"/>
        </w:rPr>
        <w:t xml:space="preserve">Shelter Coordination Meeting #3  </w:t>
      </w:r>
    </w:p>
    <w:p w:rsidR="007A628F" w:rsidRDefault="007A628F" w:rsidP="007A628F">
      <w:pPr>
        <w:rPr>
          <w:rFonts w:ascii="Calibri" w:hAnsi="Calibri"/>
          <w:sz w:val="22"/>
          <w:szCs w:val="22"/>
        </w:rPr>
      </w:pPr>
    </w:p>
    <w:p w:rsidR="007A628F" w:rsidRDefault="007A628F" w:rsidP="007A628F">
      <w:pPr>
        <w:rPr>
          <w:rFonts w:ascii="Calibri" w:hAnsi="Calibri"/>
          <w:sz w:val="22"/>
          <w:szCs w:val="22"/>
        </w:rPr>
      </w:pPr>
      <w:r>
        <w:rPr>
          <w:rFonts w:ascii="Calibri" w:hAnsi="Calibri"/>
          <w:sz w:val="22"/>
          <w:szCs w:val="22"/>
        </w:rPr>
        <w:t>Participants; OFDA, DFID, IFRC, UNDP, Samaritan’s Purse, IOM</w:t>
      </w:r>
    </w:p>
    <w:p w:rsidR="007A628F" w:rsidRDefault="007A628F" w:rsidP="007A628F">
      <w:pPr>
        <w:rPr>
          <w:rFonts w:ascii="Calibri" w:hAnsi="Calibri"/>
          <w:sz w:val="22"/>
          <w:szCs w:val="22"/>
        </w:rPr>
      </w:pPr>
      <w:r>
        <w:rPr>
          <w:rFonts w:ascii="Calibri" w:hAnsi="Calibri"/>
          <w:sz w:val="22"/>
          <w:szCs w:val="22"/>
        </w:rPr>
        <w:t>Date; 28 September 2017</w:t>
      </w:r>
    </w:p>
    <w:p w:rsidR="007A628F" w:rsidRDefault="007A628F" w:rsidP="007A628F">
      <w:pPr>
        <w:rPr>
          <w:rFonts w:ascii="Calibri" w:hAnsi="Calibri"/>
          <w:sz w:val="22"/>
          <w:szCs w:val="22"/>
        </w:rPr>
      </w:pPr>
      <w:r>
        <w:rPr>
          <w:rFonts w:ascii="Calibri" w:hAnsi="Calibri"/>
          <w:sz w:val="22"/>
          <w:szCs w:val="22"/>
        </w:rPr>
        <w:t xml:space="preserve">Location; kitchen space at EOC (the Ministry of Finance Building 5th floor) </w:t>
      </w:r>
    </w:p>
    <w:p w:rsidR="007A628F" w:rsidRDefault="007A628F" w:rsidP="007A628F">
      <w:pPr>
        <w:rPr>
          <w:rFonts w:ascii="Calibri" w:hAnsi="Calibri"/>
          <w:sz w:val="22"/>
          <w:szCs w:val="22"/>
        </w:rPr>
      </w:pP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 xml:space="preserve">Due to an absence of Mr. Toussaint (Local Government commission), the meeting was shared by IOM. </w:t>
      </w:r>
    </w:p>
    <w:p w:rsidR="007A628F" w:rsidRDefault="007A628F" w:rsidP="007A628F">
      <w:pPr>
        <w:rPr>
          <w:rFonts w:ascii="Calibri" w:hAnsi="Calibri"/>
          <w:sz w:val="22"/>
          <w:szCs w:val="22"/>
        </w:rPr>
      </w:pPr>
    </w:p>
    <w:p w:rsidR="007A628F" w:rsidRDefault="007A628F" w:rsidP="007A628F">
      <w:pPr>
        <w:rPr>
          <w:rFonts w:ascii="Calibri" w:hAnsi="Calibri"/>
          <w:sz w:val="22"/>
          <w:szCs w:val="22"/>
        </w:rPr>
      </w:pPr>
      <w:r>
        <w:rPr>
          <w:rFonts w:ascii="Calibri" w:hAnsi="Calibri"/>
          <w:b/>
          <w:bCs/>
          <w:sz w:val="22"/>
          <w:szCs w:val="22"/>
        </w:rPr>
        <w:t xml:space="preserve">Shelter strategy </w:t>
      </w:r>
      <w:r>
        <w:rPr>
          <w:rFonts w:ascii="Calibri" w:hAnsi="Calibri"/>
          <w:sz w:val="22"/>
          <w:szCs w:val="22"/>
        </w:rPr>
        <w:t>(Targeting Figures/Priority Items/Priority Locations);</w:t>
      </w:r>
    </w:p>
    <w:p w:rsidR="007A628F" w:rsidRDefault="007A628F" w:rsidP="007A628F">
      <w:pPr>
        <w:rPr>
          <w:rFonts w:ascii="Calibri" w:hAnsi="Calibri"/>
          <w:b/>
          <w:bCs/>
          <w:sz w:val="22"/>
          <w:szCs w:val="22"/>
        </w:rPr>
      </w:pP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Regarding target figures, the latest information from the Pacific Disaster Centre (PDC) using satellite imagery was introduced by IOM as table below.</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Considering the assumption of a self-recovery rate, a caseload requiring assistance is estimated 15,540 houses. Average family size in Dominica is around 3 people per household.</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 xml:space="preserve">IFRC introduced a census data (2011) which indicated 26,085 houses in Dominica. It was agreed to follow the number of the census for the number of entire houses. </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It was emphasized an importance of damage assessments on houses to have more precise figures.</w:t>
      </w:r>
    </w:p>
    <w:p w:rsidR="007A628F" w:rsidRDefault="007A628F" w:rsidP="007A628F">
      <w:pPr>
        <w:pStyle w:val="ListParagraph"/>
        <w:rPr>
          <w:rFonts w:ascii="Calibri" w:hAnsi="Calibri"/>
          <w:sz w:val="22"/>
          <w:szCs w:val="22"/>
        </w:rPr>
      </w:pPr>
    </w:p>
    <w:tbl>
      <w:tblPr>
        <w:tblW w:w="9630" w:type="dxa"/>
        <w:tblCellMar>
          <w:left w:w="0" w:type="dxa"/>
          <w:right w:w="0" w:type="dxa"/>
        </w:tblCellMar>
        <w:tblLook w:val="04A0" w:firstRow="1" w:lastRow="0" w:firstColumn="1" w:lastColumn="0" w:noHBand="0" w:noVBand="1"/>
      </w:tblPr>
      <w:tblGrid>
        <w:gridCol w:w="1440"/>
        <w:gridCol w:w="1170"/>
        <w:gridCol w:w="810"/>
        <w:gridCol w:w="2250"/>
        <w:gridCol w:w="1320"/>
        <w:gridCol w:w="1320"/>
        <w:gridCol w:w="1320"/>
      </w:tblGrid>
      <w:tr w:rsidR="007A628F" w:rsidTr="007A628F">
        <w:trPr>
          <w:trHeight w:val="312"/>
        </w:trPr>
        <w:tc>
          <w:tcPr>
            <w:tcW w:w="2610" w:type="dxa"/>
            <w:gridSpan w:val="2"/>
            <w:noWrap/>
            <w:tcMar>
              <w:top w:w="0" w:type="dxa"/>
              <w:left w:w="108" w:type="dxa"/>
              <w:bottom w:w="0" w:type="dxa"/>
              <w:right w:w="108" w:type="dxa"/>
            </w:tcMar>
            <w:vAlign w:val="bottom"/>
            <w:hideMark/>
          </w:tcPr>
          <w:p w:rsidR="007A628F" w:rsidRDefault="007A628F">
            <w:pPr>
              <w:rPr>
                <w:rFonts w:ascii="Calibri" w:hAnsi="Calibri"/>
                <w:color w:val="000000"/>
                <w:sz w:val="20"/>
                <w:szCs w:val="20"/>
                <w:u w:val="single"/>
              </w:rPr>
            </w:pPr>
            <w:r>
              <w:rPr>
                <w:rFonts w:ascii="Calibri" w:hAnsi="Calibri"/>
                <w:color w:val="000000"/>
                <w:sz w:val="20"/>
                <w:szCs w:val="20"/>
                <w:u w:val="single"/>
              </w:rPr>
              <w:t>Damage figures from PDC</w:t>
            </w:r>
          </w:p>
        </w:tc>
        <w:tc>
          <w:tcPr>
            <w:tcW w:w="810" w:type="dxa"/>
            <w:noWrap/>
            <w:tcMar>
              <w:top w:w="0" w:type="dxa"/>
              <w:left w:w="108" w:type="dxa"/>
              <w:bottom w:w="0" w:type="dxa"/>
              <w:right w:w="108" w:type="dxa"/>
            </w:tcMar>
            <w:vAlign w:val="bottom"/>
            <w:hideMark/>
          </w:tcPr>
          <w:p w:rsidR="007A628F" w:rsidRDefault="007A628F">
            <w:pPr>
              <w:rPr>
                <w:rFonts w:ascii="Calibri" w:hAnsi="Calibri"/>
                <w:color w:val="000000"/>
                <w:sz w:val="20"/>
                <w:szCs w:val="20"/>
                <w:u w:val="single"/>
              </w:rPr>
            </w:pPr>
          </w:p>
        </w:tc>
        <w:tc>
          <w:tcPr>
            <w:tcW w:w="2250" w:type="dxa"/>
            <w:noWrap/>
            <w:tcMar>
              <w:top w:w="0" w:type="dxa"/>
              <w:left w:w="108" w:type="dxa"/>
              <w:bottom w:w="0" w:type="dxa"/>
              <w:right w:w="108" w:type="dxa"/>
            </w:tcMar>
            <w:vAlign w:val="bottom"/>
            <w:hideMark/>
          </w:tcPr>
          <w:p w:rsidR="007A628F" w:rsidRDefault="007A628F">
            <w:pPr>
              <w:rPr>
                <w:rFonts w:eastAsia="Times New Roman"/>
                <w:sz w:val="20"/>
                <w:szCs w:val="20"/>
              </w:rPr>
            </w:pPr>
          </w:p>
        </w:tc>
        <w:tc>
          <w:tcPr>
            <w:tcW w:w="1320" w:type="dxa"/>
            <w:noWrap/>
            <w:tcMar>
              <w:top w:w="0" w:type="dxa"/>
              <w:left w:w="108" w:type="dxa"/>
              <w:bottom w:w="0" w:type="dxa"/>
              <w:right w:w="108" w:type="dxa"/>
            </w:tcMar>
            <w:vAlign w:val="bottom"/>
            <w:hideMark/>
          </w:tcPr>
          <w:p w:rsidR="007A628F" w:rsidRDefault="007A628F">
            <w:pPr>
              <w:rPr>
                <w:rFonts w:eastAsia="Times New Roman"/>
                <w:sz w:val="20"/>
                <w:szCs w:val="20"/>
              </w:rPr>
            </w:pPr>
          </w:p>
        </w:tc>
        <w:tc>
          <w:tcPr>
            <w:tcW w:w="1320" w:type="dxa"/>
            <w:noWrap/>
            <w:tcMar>
              <w:top w:w="0" w:type="dxa"/>
              <w:left w:w="108" w:type="dxa"/>
              <w:bottom w:w="0" w:type="dxa"/>
              <w:right w:w="108" w:type="dxa"/>
            </w:tcMar>
            <w:vAlign w:val="bottom"/>
            <w:hideMark/>
          </w:tcPr>
          <w:p w:rsidR="007A628F" w:rsidRDefault="007A628F">
            <w:pPr>
              <w:rPr>
                <w:rFonts w:eastAsia="Times New Roman"/>
                <w:sz w:val="20"/>
                <w:szCs w:val="20"/>
              </w:rPr>
            </w:pPr>
          </w:p>
        </w:tc>
        <w:tc>
          <w:tcPr>
            <w:tcW w:w="1320" w:type="dxa"/>
            <w:noWrap/>
            <w:tcMar>
              <w:top w:w="0" w:type="dxa"/>
              <w:left w:w="108" w:type="dxa"/>
              <w:bottom w:w="0" w:type="dxa"/>
              <w:right w:w="108" w:type="dxa"/>
            </w:tcMar>
            <w:vAlign w:val="bottom"/>
            <w:hideMark/>
          </w:tcPr>
          <w:p w:rsidR="007A628F" w:rsidRDefault="007A628F">
            <w:pPr>
              <w:rPr>
                <w:rFonts w:eastAsia="Times New Roman"/>
                <w:sz w:val="20"/>
                <w:szCs w:val="20"/>
              </w:rPr>
            </w:pPr>
          </w:p>
        </w:tc>
      </w:tr>
      <w:tr w:rsidR="007A628F" w:rsidTr="007A628F">
        <w:trPr>
          <w:trHeight w:val="312"/>
        </w:trPr>
        <w:tc>
          <w:tcPr>
            <w:tcW w:w="1440" w:type="dxa"/>
            <w:noWrap/>
            <w:tcMar>
              <w:top w:w="0" w:type="dxa"/>
              <w:left w:w="108" w:type="dxa"/>
              <w:bottom w:w="0" w:type="dxa"/>
              <w:right w:w="108" w:type="dxa"/>
            </w:tcMar>
            <w:vAlign w:val="bottom"/>
            <w:hideMark/>
          </w:tcPr>
          <w:p w:rsidR="007A628F" w:rsidRDefault="007A628F">
            <w:pPr>
              <w:rPr>
                <w:rFonts w:eastAsia="Times New Roman"/>
                <w:sz w:val="20"/>
                <w:szCs w:val="20"/>
              </w:rPr>
            </w:pPr>
          </w:p>
        </w:tc>
        <w:tc>
          <w:tcPr>
            <w:tcW w:w="1170" w:type="dxa"/>
            <w:noWrap/>
            <w:tcMar>
              <w:top w:w="0" w:type="dxa"/>
              <w:left w:w="108" w:type="dxa"/>
              <w:bottom w:w="0" w:type="dxa"/>
              <w:right w:w="108" w:type="dxa"/>
            </w:tcMar>
            <w:vAlign w:val="bottom"/>
            <w:hideMark/>
          </w:tcPr>
          <w:p w:rsidR="007A628F" w:rsidRDefault="007A628F">
            <w:pPr>
              <w:rPr>
                <w:rFonts w:eastAsia="Times New Roman"/>
                <w:sz w:val="20"/>
                <w:szCs w:val="20"/>
              </w:rPr>
            </w:pPr>
          </w:p>
        </w:tc>
        <w:tc>
          <w:tcPr>
            <w:tcW w:w="810" w:type="dxa"/>
            <w:noWrap/>
            <w:tcMar>
              <w:top w:w="0" w:type="dxa"/>
              <w:left w:w="108" w:type="dxa"/>
              <w:bottom w:w="0" w:type="dxa"/>
              <w:right w:w="108" w:type="dxa"/>
            </w:tcMar>
            <w:vAlign w:val="bottom"/>
            <w:hideMark/>
          </w:tcPr>
          <w:p w:rsidR="007A628F" w:rsidRDefault="007A628F">
            <w:pPr>
              <w:rPr>
                <w:rFonts w:eastAsia="Times New Roman"/>
                <w:sz w:val="20"/>
                <w:szCs w:val="20"/>
              </w:rPr>
            </w:pPr>
          </w:p>
        </w:tc>
        <w:tc>
          <w:tcPr>
            <w:tcW w:w="2250" w:type="dxa"/>
            <w:noWrap/>
            <w:tcMar>
              <w:top w:w="0" w:type="dxa"/>
              <w:left w:w="108" w:type="dxa"/>
              <w:bottom w:w="0" w:type="dxa"/>
              <w:right w:w="108" w:type="dxa"/>
            </w:tcMar>
            <w:vAlign w:val="bottom"/>
            <w:hideMark/>
          </w:tcPr>
          <w:p w:rsidR="007A628F" w:rsidRDefault="007A628F">
            <w:pPr>
              <w:rPr>
                <w:rFonts w:eastAsia="Times New Roman"/>
                <w:sz w:val="20"/>
                <w:szCs w:val="20"/>
              </w:rPr>
            </w:pPr>
          </w:p>
        </w:tc>
        <w:tc>
          <w:tcPr>
            <w:tcW w:w="396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center"/>
              <w:rPr>
                <w:rFonts w:ascii="Calibri" w:hAnsi="Calibri"/>
                <w:color w:val="000000"/>
                <w:sz w:val="20"/>
                <w:szCs w:val="20"/>
              </w:rPr>
            </w:pPr>
            <w:r>
              <w:rPr>
                <w:rFonts w:ascii="Calibri" w:hAnsi="Calibri"/>
                <w:color w:val="000000"/>
                <w:sz w:val="20"/>
                <w:szCs w:val="20"/>
              </w:rPr>
              <w:t>Targets</w:t>
            </w:r>
          </w:p>
        </w:tc>
      </w:tr>
      <w:tr w:rsidR="007A628F" w:rsidTr="007A628F">
        <w:trPr>
          <w:trHeight w:val="624"/>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628F" w:rsidRDefault="007A628F">
            <w:pPr>
              <w:rPr>
                <w:rFonts w:ascii="Calibri" w:hAnsi="Calibri"/>
                <w:b/>
                <w:bCs/>
                <w:color w:val="000000"/>
                <w:sz w:val="20"/>
                <w:szCs w:val="20"/>
              </w:rPr>
            </w:pPr>
            <w:r>
              <w:rPr>
                <w:rFonts w:ascii="Calibri" w:hAnsi="Calibri"/>
                <w:b/>
                <w:bCs/>
                <w:color w:val="000000"/>
                <w:sz w:val="20"/>
                <w:szCs w:val="20"/>
              </w:rPr>
              <w:t>Extrapolated to whole country</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28F" w:rsidRDefault="007A628F">
            <w:pPr>
              <w:rPr>
                <w:rFonts w:ascii="Calibri" w:hAnsi="Calibri"/>
                <w:b/>
                <w:bCs/>
                <w:color w:val="000000"/>
                <w:sz w:val="20"/>
                <w:szCs w:val="20"/>
              </w:rPr>
            </w:pPr>
            <w:r>
              <w:rPr>
                <w:rFonts w:ascii="Calibri" w:hAnsi="Calibri"/>
                <w:b/>
                <w:bCs/>
                <w:color w:val="000000"/>
                <w:sz w:val="20"/>
                <w:szCs w:val="20"/>
              </w:rPr>
              <w:t>Surveyed to date</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2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2640"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A628F" w:rsidRDefault="007A628F">
            <w:pPr>
              <w:jc w:val="center"/>
              <w:rPr>
                <w:rFonts w:ascii="Calibri" w:hAnsi="Calibri"/>
                <w:color w:val="000000"/>
                <w:sz w:val="20"/>
                <w:szCs w:val="20"/>
              </w:rPr>
            </w:pPr>
            <w:r>
              <w:rPr>
                <w:rFonts w:ascii="Calibri" w:hAnsi="Calibri"/>
                <w:color w:val="000000"/>
                <w:sz w:val="20"/>
                <w:szCs w:val="20"/>
              </w:rPr>
              <w:t>Assume self-recovery</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Remaining caseload</w:t>
            </w:r>
          </w:p>
        </w:tc>
      </w:tr>
      <w:tr w:rsidR="007A628F" w:rsidTr="007A628F">
        <w:trPr>
          <w:trHeight w:val="312"/>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2</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r>
      <w:tr w:rsidR="007A628F" w:rsidTr="007A628F">
        <w:trPr>
          <w:trHeight w:val="312"/>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2137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672</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10%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Slightly damaged</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100%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2137</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0</w:t>
            </w:r>
          </w:p>
        </w:tc>
      </w:tr>
      <w:tr w:rsidR="007A628F" w:rsidTr="007A628F">
        <w:trPr>
          <w:trHeight w:val="312"/>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5987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1883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28%</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Moderately damaged</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50%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2993</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2993</w:t>
            </w:r>
          </w:p>
        </w:tc>
      </w:tr>
      <w:tr w:rsidR="007A628F" w:rsidTr="007A628F">
        <w:trPr>
          <w:trHeight w:val="312"/>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8476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2666</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39%</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Highly damaged</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10%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848</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7628</w:t>
            </w:r>
          </w:p>
        </w:tc>
      </w:tr>
      <w:tr w:rsidR="007A628F" w:rsidTr="007A628F">
        <w:trPr>
          <w:trHeight w:val="312"/>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4918</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1547</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23%</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Completely destroyed</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4918</w:t>
            </w:r>
          </w:p>
        </w:tc>
      </w:tr>
      <w:tr w:rsidR="007A628F" w:rsidTr="007A628F">
        <w:trPr>
          <w:trHeight w:val="312"/>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b/>
                <w:bCs/>
                <w:color w:val="000000"/>
                <w:sz w:val="20"/>
                <w:szCs w:val="20"/>
              </w:rPr>
            </w:pPr>
            <w:r>
              <w:rPr>
                <w:rFonts w:ascii="Calibri" w:hAnsi="Calibri"/>
                <w:b/>
                <w:bCs/>
                <w:color w:val="000000"/>
                <w:sz w:val="20"/>
                <w:szCs w:val="20"/>
              </w:rPr>
              <w:t>21524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color w:val="000000"/>
                <w:sz w:val="20"/>
                <w:szCs w:val="20"/>
              </w:rPr>
            </w:pPr>
            <w:r>
              <w:rPr>
                <w:rFonts w:ascii="Calibri" w:hAnsi="Calibri"/>
                <w:color w:val="000000"/>
                <w:sz w:val="20"/>
                <w:szCs w:val="20"/>
              </w:rPr>
              <w:t>6770</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628F" w:rsidRDefault="007A628F">
            <w:pPr>
              <w:jc w:val="right"/>
              <w:rPr>
                <w:rFonts w:ascii="Calibri" w:hAnsi="Calibri"/>
                <w:b/>
                <w:bCs/>
                <w:color w:val="000000"/>
                <w:sz w:val="20"/>
                <w:szCs w:val="20"/>
              </w:rPr>
            </w:pPr>
            <w:r>
              <w:rPr>
                <w:rFonts w:ascii="Calibri" w:hAnsi="Calibri"/>
                <w:b/>
                <w:bCs/>
                <w:color w:val="000000"/>
                <w:sz w:val="20"/>
                <w:szCs w:val="20"/>
              </w:rPr>
              <w:t>15540</w:t>
            </w:r>
          </w:p>
        </w:tc>
      </w:tr>
    </w:tbl>
    <w:p w:rsidR="007A628F" w:rsidRDefault="007A628F" w:rsidP="007A628F">
      <w:pPr>
        <w:rPr>
          <w:rFonts w:ascii="Calibri" w:hAnsi="Calibri"/>
          <w:sz w:val="22"/>
          <w:szCs w:val="22"/>
        </w:rPr>
      </w:pPr>
    </w:p>
    <w:p w:rsidR="007A628F" w:rsidRDefault="007A628F" w:rsidP="007A628F">
      <w:pPr>
        <w:rPr>
          <w:rFonts w:ascii="Calibri" w:hAnsi="Calibri"/>
          <w:sz w:val="22"/>
          <w:szCs w:val="22"/>
        </w:rPr>
      </w:pPr>
    </w:p>
    <w:p w:rsidR="007A628F" w:rsidRDefault="007A628F" w:rsidP="007A628F">
      <w:pPr>
        <w:rPr>
          <w:rFonts w:ascii="Calibri" w:hAnsi="Calibri"/>
          <w:sz w:val="22"/>
          <w:szCs w:val="22"/>
        </w:rPr>
      </w:pPr>
      <w:r>
        <w:rPr>
          <w:rFonts w:ascii="Calibri" w:hAnsi="Calibri"/>
          <w:sz w:val="22"/>
          <w:szCs w:val="22"/>
        </w:rPr>
        <w:t xml:space="preserve">Following the previous discussion “Collective Center and host family plan”,  the following activity table was shared with participants. Areas that experienced storm surges or landslides have in many cases experienced total shelter destruction, as houses slid off foundations or collapsed. However, in other areas, much of the damage was caused by hurricane winds ripping off the roof or part of the roof. </w:t>
      </w:r>
    </w:p>
    <w:p w:rsidR="007A628F" w:rsidRDefault="007A628F" w:rsidP="007A628F">
      <w:pPr>
        <w:rPr>
          <w:rFonts w:ascii="Calibri" w:hAnsi="Calibri"/>
          <w:sz w:val="22"/>
          <w:szCs w:val="22"/>
        </w:rPr>
      </w:pPr>
    </w:p>
    <w:p w:rsidR="007A628F" w:rsidRDefault="007A628F" w:rsidP="007A628F">
      <w:pPr>
        <w:rPr>
          <w:rFonts w:ascii="Calibri" w:hAnsi="Calibri"/>
          <w:b/>
          <w:bCs/>
          <w:color w:val="000000"/>
          <w:sz w:val="22"/>
          <w:szCs w:val="22"/>
        </w:rPr>
      </w:pPr>
      <w:r>
        <w:rPr>
          <w:rFonts w:ascii="Calibri" w:hAnsi="Calibri"/>
          <w:b/>
          <w:bCs/>
          <w:sz w:val="22"/>
          <w:szCs w:val="22"/>
        </w:rPr>
        <w:t xml:space="preserve">               </w:t>
      </w:r>
    </w:p>
    <w:tbl>
      <w:tblPr>
        <w:tblW w:w="0" w:type="auto"/>
        <w:tblInd w:w="-10" w:type="dxa"/>
        <w:tblCellMar>
          <w:left w:w="0" w:type="dxa"/>
          <w:right w:w="0" w:type="dxa"/>
        </w:tblCellMar>
        <w:tblLook w:val="04A0" w:firstRow="1" w:lastRow="0" w:firstColumn="1" w:lastColumn="0" w:noHBand="0" w:noVBand="1"/>
      </w:tblPr>
      <w:tblGrid>
        <w:gridCol w:w="1642"/>
        <w:gridCol w:w="2498"/>
        <w:gridCol w:w="2700"/>
        <w:gridCol w:w="2347"/>
      </w:tblGrid>
      <w:tr w:rsidR="007A628F" w:rsidTr="007A628F">
        <w:trPr>
          <w:trHeight w:val="525"/>
        </w:trPr>
        <w:tc>
          <w:tcPr>
            <w:tcW w:w="1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628F" w:rsidRDefault="007A628F">
            <w:pPr>
              <w:rPr>
                <w:rFonts w:ascii="Calibri" w:hAnsi="Calibri"/>
                <w:b/>
                <w:bCs/>
                <w:color w:val="A6A6A6"/>
                <w:sz w:val="22"/>
                <w:szCs w:val="22"/>
                <w:shd w:val="clear" w:color="auto" w:fill="D9D9D9"/>
                <w:lang w:val="en-GB" w:eastAsia="en-US"/>
              </w:rPr>
            </w:pPr>
            <w:r>
              <w:rPr>
                <w:rFonts w:ascii="Calibri" w:hAnsi="Calibri"/>
                <w:b/>
                <w:bCs/>
                <w:sz w:val="22"/>
                <w:szCs w:val="22"/>
                <w:lang w:val="en-GB" w:eastAsia="en-US"/>
              </w:rPr>
              <w:t>Displaced/Non-displaced</w:t>
            </w:r>
          </w:p>
        </w:tc>
        <w:tc>
          <w:tcPr>
            <w:tcW w:w="2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28F" w:rsidRDefault="007A628F">
            <w:pPr>
              <w:rPr>
                <w:rFonts w:ascii="Calibri" w:hAnsi="Calibri"/>
                <w:b/>
                <w:bCs/>
                <w:color w:val="A6A6A6"/>
                <w:sz w:val="22"/>
                <w:szCs w:val="22"/>
                <w:shd w:val="clear" w:color="auto" w:fill="D9D9D9"/>
                <w:lang w:val="en-GB" w:eastAsia="en-US"/>
              </w:rPr>
            </w:pPr>
            <w:r>
              <w:rPr>
                <w:rFonts w:ascii="Calibri" w:hAnsi="Calibri"/>
                <w:b/>
                <w:bCs/>
                <w:sz w:val="22"/>
                <w:szCs w:val="22"/>
                <w:lang w:val="en-GB" w:eastAsia="en-US"/>
              </w:rPr>
              <w:t>Response category</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28F" w:rsidRDefault="007A628F">
            <w:pPr>
              <w:rPr>
                <w:rFonts w:ascii="Calibri" w:hAnsi="Calibri"/>
                <w:b/>
                <w:bCs/>
                <w:color w:val="A6A6A6"/>
                <w:sz w:val="22"/>
                <w:szCs w:val="22"/>
                <w:shd w:val="clear" w:color="auto" w:fill="D9D9D9"/>
                <w:lang w:val="en-GB" w:eastAsia="en-US"/>
              </w:rPr>
            </w:pPr>
            <w:r>
              <w:rPr>
                <w:rFonts w:ascii="Calibri" w:hAnsi="Calibri"/>
                <w:b/>
                <w:bCs/>
                <w:sz w:val="22"/>
                <w:szCs w:val="22"/>
                <w:lang w:val="en-GB" w:eastAsia="en-US"/>
              </w:rPr>
              <w:t>Activities (emergency)</w:t>
            </w:r>
          </w:p>
        </w:tc>
        <w:tc>
          <w:tcPr>
            <w:tcW w:w="23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28F" w:rsidRDefault="007A628F">
            <w:pPr>
              <w:rPr>
                <w:rFonts w:ascii="Calibri" w:hAnsi="Calibri"/>
                <w:b/>
                <w:bCs/>
                <w:color w:val="A6A6A6"/>
                <w:sz w:val="22"/>
                <w:szCs w:val="22"/>
                <w:shd w:val="clear" w:color="auto" w:fill="D9D9D9"/>
                <w:lang w:val="en-GB" w:eastAsia="en-US"/>
              </w:rPr>
            </w:pPr>
            <w:r>
              <w:rPr>
                <w:rFonts w:ascii="Calibri" w:hAnsi="Calibri"/>
                <w:b/>
                <w:bCs/>
                <w:sz w:val="22"/>
                <w:szCs w:val="22"/>
                <w:lang w:val="en-GB" w:eastAsia="en-US"/>
              </w:rPr>
              <w:t>Activities (Recovery)</w:t>
            </w:r>
          </w:p>
        </w:tc>
      </w:tr>
      <w:tr w:rsidR="007A628F" w:rsidTr="007A628F">
        <w:trPr>
          <w:trHeight w:val="108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28F" w:rsidRDefault="007A628F">
            <w:pPr>
              <w:rPr>
                <w:rFonts w:ascii="Calibri" w:hAnsi="Calibri"/>
                <w:b/>
                <w:bCs/>
                <w:sz w:val="22"/>
                <w:szCs w:val="22"/>
                <w:lang w:val="en-GB" w:eastAsia="en-US"/>
              </w:rPr>
            </w:pPr>
            <w:r>
              <w:rPr>
                <w:rFonts w:ascii="Calibri" w:hAnsi="Calibri"/>
                <w:b/>
                <w:bCs/>
                <w:sz w:val="22"/>
                <w:szCs w:val="22"/>
                <w:lang w:val="en-GB" w:eastAsia="en-US"/>
              </w:rPr>
              <w:t>Displaced</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7A628F" w:rsidRDefault="007A628F" w:rsidP="007A628F">
            <w:pPr>
              <w:numPr>
                <w:ilvl w:val="0"/>
                <w:numId w:val="3"/>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Collective centres</w:t>
            </w:r>
          </w:p>
          <w:p w:rsidR="007A628F" w:rsidRDefault="007A628F" w:rsidP="007A628F">
            <w:pPr>
              <w:numPr>
                <w:ilvl w:val="0"/>
                <w:numId w:val="3"/>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Host families</w:t>
            </w:r>
          </w:p>
          <w:p w:rsidR="007A628F" w:rsidRDefault="007A628F" w:rsidP="007A628F">
            <w:pPr>
              <w:numPr>
                <w:ilvl w:val="0"/>
                <w:numId w:val="3"/>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Temporary shelters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A628F" w:rsidRDefault="007A628F" w:rsidP="007A628F">
            <w:pPr>
              <w:numPr>
                <w:ilvl w:val="0"/>
                <w:numId w:val="3"/>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Multi-purpose cash</w:t>
            </w:r>
          </w:p>
          <w:p w:rsidR="007A628F" w:rsidRDefault="007A628F" w:rsidP="007A628F">
            <w:pPr>
              <w:numPr>
                <w:ilvl w:val="0"/>
                <w:numId w:val="3"/>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Cash for shelter</w:t>
            </w:r>
          </w:p>
          <w:p w:rsidR="007A628F" w:rsidRDefault="007A628F" w:rsidP="007A628F">
            <w:pPr>
              <w:numPr>
                <w:ilvl w:val="0"/>
                <w:numId w:val="3"/>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Tarpaulins</w:t>
            </w:r>
          </w:p>
          <w:p w:rsidR="007A628F" w:rsidRDefault="007A628F" w:rsidP="007A628F">
            <w:pPr>
              <w:numPr>
                <w:ilvl w:val="0"/>
                <w:numId w:val="3"/>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NFIs</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A628F" w:rsidRDefault="007A628F" w:rsidP="007A628F">
            <w:pPr>
              <w:numPr>
                <w:ilvl w:val="0"/>
                <w:numId w:val="3"/>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Resettlement</w:t>
            </w:r>
          </w:p>
          <w:p w:rsidR="007A628F" w:rsidRDefault="007A628F" w:rsidP="007A628F">
            <w:pPr>
              <w:numPr>
                <w:ilvl w:val="0"/>
                <w:numId w:val="3"/>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Housing support</w:t>
            </w:r>
          </w:p>
          <w:p w:rsidR="007A628F" w:rsidRDefault="007A628F" w:rsidP="007A628F">
            <w:pPr>
              <w:numPr>
                <w:ilvl w:val="0"/>
                <w:numId w:val="3"/>
              </w:numPr>
              <w:contextualSpacing/>
              <w:rPr>
                <w:rFonts w:ascii="Calibri" w:eastAsia="Times New Roman" w:hAnsi="Calibri"/>
                <w:b/>
                <w:bCs/>
                <w:sz w:val="22"/>
                <w:szCs w:val="22"/>
                <w:lang w:val="en-GB" w:eastAsia="en-US"/>
              </w:rPr>
            </w:pPr>
            <w:r>
              <w:rPr>
                <w:rFonts w:ascii="Calibri" w:eastAsia="Times New Roman" w:hAnsi="Calibri"/>
                <w:sz w:val="22"/>
                <w:szCs w:val="22"/>
                <w:lang w:val="en-GB" w:eastAsia="en-US"/>
              </w:rPr>
              <w:t>DRR</w:t>
            </w:r>
          </w:p>
          <w:p w:rsidR="007A628F" w:rsidRDefault="007A628F" w:rsidP="007A628F">
            <w:pPr>
              <w:numPr>
                <w:ilvl w:val="0"/>
                <w:numId w:val="3"/>
              </w:numPr>
              <w:contextualSpacing/>
              <w:rPr>
                <w:rFonts w:ascii="Calibri" w:eastAsia="Times New Roman" w:hAnsi="Calibri"/>
                <w:b/>
                <w:bCs/>
                <w:sz w:val="22"/>
                <w:szCs w:val="22"/>
                <w:lang w:val="en-GB" w:eastAsia="en-US"/>
              </w:rPr>
            </w:pPr>
            <w:r>
              <w:rPr>
                <w:rFonts w:ascii="Calibri" w:eastAsia="Times New Roman" w:hAnsi="Calibri"/>
                <w:sz w:val="22"/>
                <w:szCs w:val="22"/>
                <w:lang w:val="en-GB" w:eastAsia="en-US"/>
              </w:rPr>
              <w:t>BBS</w:t>
            </w:r>
          </w:p>
        </w:tc>
      </w:tr>
      <w:tr w:rsidR="007A628F" w:rsidTr="007A628F">
        <w:trPr>
          <w:trHeight w:val="1342"/>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28F" w:rsidRDefault="007A628F">
            <w:pPr>
              <w:rPr>
                <w:rFonts w:ascii="Calibri" w:hAnsi="Calibri"/>
                <w:b/>
                <w:bCs/>
                <w:sz w:val="22"/>
                <w:szCs w:val="22"/>
                <w:lang w:val="en-GB" w:eastAsia="en-US"/>
              </w:rPr>
            </w:pPr>
            <w:r>
              <w:rPr>
                <w:rFonts w:ascii="Calibri" w:hAnsi="Calibri"/>
                <w:b/>
                <w:bCs/>
                <w:sz w:val="22"/>
                <w:szCs w:val="22"/>
                <w:lang w:val="en-GB" w:eastAsia="en-US"/>
              </w:rPr>
              <w:lastRenderedPageBreak/>
              <w:t>Non-displaced</w:t>
            </w:r>
          </w:p>
        </w:tc>
        <w:tc>
          <w:tcPr>
            <w:tcW w:w="2498" w:type="dxa"/>
            <w:tcBorders>
              <w:top w:val="nil"/>
              <w:left w:val="nil"/>
              <w:bottom w:val="single" w:sz="8" w:space="0" w:color="auto"/>
              <w:right w:val="single" w:sz="8" w:space="0" w:color="auto"/>
            </w:tcBorders>
            <w:tcMar>
              <w:top w:w="0" w:type="dxa"/>
              <w:left w:w="108" w:type="dxa"/>
              <w:bottom w:w="0" w:type="dxa"/>
              <w:right w:w="108" w:type="dxa"/>
            </w:tcMar>
            <w:hideMark/>
          </w:tcPr>
          <w:p w:rsidR="007A628F" w:rsidRDefault="007A628F" w:rsidP="007A628F">
            <w:pPr>
              <w:numPr>
                <w:ilvl w:val="0"/>
                <w:numId w:val="4"/>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Repair</w:t>
            </w:r>
          </w:p>
          <w:p w:rsidR="007A628F" w:rsidRDefault="007A628F" w:rsidP="007A628F">
            <w:pPr>
              <w:numPr>
                <w:ilvl w:val="0"/>
                <w:numId w:val="4"/>
              </w:numPr>
              <w:contextualSpacing/>
              <w:rPr>
                <w:rFonts w:ascii="Calibri" w:eastAsia="Times New Roman" w:hAnsi="Calibri"/>
                <w:b/>
                <w:bCs/>
                <w:sz w:val="22"/>
                <w:szCs w:val="22"/>
                <w:lang w:val="en-GB" w:eastAsia="en-US"/>
              </w:rPr>
            </w:pPr>
            <w:r>
              <w:rPr>
                <w:rFonts w:ascii="Calibri" w:eastAsia="Times New Roman" w:hAnsi="Calibri"/>
                <w:sz w:val="22"/>
                <w:szCs w:val="22"/>
                <w:lang w:val="en-GB" w:eastAsia="en-US"/>
              </w:rPr>
              <w:t>Reconstruction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7A628F" w:rsidRDefault="007A628F" w:rsidP="007A628F">
            <w:pPr>
              <w:numPr>
                <w:ilvl w:val="0"/>
                <w:numId w:val="4"/>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Multi-purpose cash</w:t>
            </w:r>
          </w:p>
          <w:p w:rsidR="007A628F" w:rsidRDefault="007A628F" w:rsidP="007A628F">
            <w:pPr>
              <w:numPr>
                <w:ilvl w:val="0"/>
                <w:numId w:val="4"/>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Cash for shelter</w:t>
            </w:r>
          </w:p>
          <w:p w:rsidR="007A628F" w:rsidRDefault="007A628F" w:rsidP="007A628F">
            <w:pPr>
              <w:numPr>
                <w:ilvl w:val="0"/>
                <w:numId w:val="4"/>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Tarpaulins</w:t>
            </w:r>
          </w:p>
          <w:p w:rsidR="007A628F" w:rsidRDefault="007A628F">
            <w:pPr>
              <w:pStyle w:val="ListParagraph"/>
              <w:rPr>
                <w:rFonts w:ascii="Calibri" w:hAnsi="Calibri"/>
                <w:sz w:val="22"/>
                <w:szCs w:val="22"/>
                <w:lang w:val="en-GB" w:eastAsia="en-US"/>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A628F" w:rsidRDefault="007A628F" w:rsidP="007A628F">
            <w:pPr>
              <w:numPr>
                <w:ilvl w:val="0"/>
                <w:numId w:val="5"/>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Shelter repair kits</w:t>
            </w:r>
          </w:p>
          <w:p w:rsidR="007A628F" w:rsidRDefault="007A628F" w:rsidP="007A628F">
            <w:pPr>
              <w:numPr>
                <w:ilvl w:val="0"/>
                <w:numId w:val="5"/>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Model house construction</w:t>
            </w:r>
          </w:p>
          <w:p w:rsidR="007A628F" w:rsidRDefault="007A628F" w:rsidP="007A628F">
            <w:pPr>
              <w:numPr>
                <w:ilvl w:val="0"/>
                <w:numId w:val="5"/>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DRR</w:t>
            </w:r>
          </w:p>
          <w:p w:rsidR="007A628F" w:rsidRDefault="007A628F" w:rsidP="007A628F">
            <w:pPr>
              <w:numPr>
                <w:ilvl w:val="0"/>
                <w:numId w:val="5"/>
              </w:numPr>
              <w:contextualSpacing/>
              <w:rPr>
                <w:rFonts w:ascii="Calibri" w:eastAsia="Times New Roman" w:hAnsi="Calibri"/>
                <w:sz w:val="22"/>
                <w:szCs w:val="22"/>
                <w:lang w:val="en-GB" w:eastAsia="en-US"/>
              </w:rPr>
            </w:pPr>
            <w:r>
              <w:rPr>
                <w:rFonts w:ascii="Calibri" w:eastAsia="Times New Roman" w:hAnsi="Calibri"/>
                <w:sz w:val="22"/>
                <w:szCs w:val="22"/>
                <w:lang w:val="en-GB" w:eastAsia="en-US"/>
              </w:rPr>
              <w:t>BBS</w:t>
            </w:r>
          </w:p>
        </w:tc>
      </w:tr>
    </w:tbl>
    <w:p w:rsidR="007A628F" w:rsidRDefault="007A628F" w:rsidP="007A628F">
      <w:pPr>
        <w:rPr>
          <w:rFonts w:ascii="Calibri" w:hAnsi="Calibri"/>
          <w:b/>
          <w:bCs/>
          <w:color w:val="000000"/>
          <w:sz w:val="22"/>
          <w:szCs w:val="22"/>
          <w:lang w:val="en-GB" w:eastAsia="en-GB"/>
        </w:rPr>
      </w:pPr>
    </w:p>
    <w:p w:rsidR="007A628F" w:rsidRDefault="007A628F" w:rsidP="007A628F">
      <w:pPr>
        <w:rPr>
          <w:rFonts w:ascii="Calibri" w:hAnsi="Calibri"/>
          <w:sz w:val="22"/>
          <w:szCs w:val="22"/>
        </w:rPr>
      </w:pPr>
    </w:p>
    <w:p w:rsidR="007A628F" w:rsidRDefault="007A628F" w:rsidP="007A628F">
      <w:pPr>
        <w:rPr>
          <w:rFonts w:ascii="Calibri" w:hAnsi="Calibri"/>
          <w:b/>
          <w:bCs/>
          <w:sz w:val="22"/>
          <w:szCs w:val="22"/>
        </w:rPr>
      </w:pPr>
      <w:r>
        <w:rPr>
          <w:rFonts w:ascii="Calibri" w:hAnsi="Calibri"/>
          <w:b/>
          <w:bCs/>
          <w:sz w:val="22"/>
          <w:szCs w:val="22"/>
        </w:rPr>
        <w:t xml:space="preserve">Flash appeal; </w:t>
      </w:r>
    </w:p>
    <w:p w:rsidR="007A628F" w:rsidRDefault="007A628F" w:rsidP="007A628F">
      <w:pPr>
        <w:rPr>
          <w:rFonts w:ascii="Calibri" w:hAnsi="Calibri"/>
          <w:sz w:val="22"/>
          <w:szCs w:val="22"/>
        </w:rPr>
      </w:pPr>
    </w:p>
    <w:p w:rsidR="007A628F" w:rsidRDefault="007A628F" w:rsidP="007A628F">
      <w:pPr>
        <w:rPr>
          <w:rFonts w:ascii="Calibri" w:hAnsi="Calibri"/>
          <w:sz w:val="22"/>
          <w:szCs w:val="22"/>
        </w:rPr>
      </w:pPr>
      <w:r>
        <w:rPr>
          <w:rFonts w:ascii="Calibri" w:hAnsi="Calibri"/>
          <w:sz w:val="22"/>
          <w:szCs w:val="22"/>
        </w:rPr>
        <w:t xml:space="preserve">A draft of shelter sector response for Flash appeal for Dominica response was submitted by IOM to OCHA Barbados in coordination with CRS, Samaritan’s Purse and IFRC. It is over 3 million USD for Oct to Dec 2017. Although IFRC has a separate appeal, the target figure was shared and divided to avoid duplication. </w:t>
      </w:r>
    </w:p>
    <w:p w:rsidR="007A628F" w:rsidRDefault="007A628F" w:rsidP="007A628F">
      <w:pPr>
        <w:rPr>
          <w:rFonts w:ascii="Calibri" w:hAnsi="Calibri"/>
          <w:b/>
          <w:bCs/>
          <w:sz w:val="22"/>
          <w:szCs w:val="22"/>
        </w:rPr>
      </w:pPr>
    </w:p>
    <w:p w:rsidR="007A628F" w:rsidRDefault="007A628F" w:rsidP="007A628F">
      <w:pPr>
        <w:rPr>
          <w:rFonts w:ascii="Calibri" w:hAnsi="Calibri"/>
          <w:sz w:val="22"/>
          <w:szCs w:val="22"/>
        </w:rPr>
      </w:pPr>
      <w:r>
        <w:rPr>
          <w:rFonts w:ascii="Calibri" w:hAnsi="Calibri"/>
          <w:b/>
          <w:bCs/>
          <w:sz w:val="22"/>
          <w:szCs w:val="22"/>
        </w:rPr>
        <w:t>Technical Working Group</w:t>
      </w:r>
      <w:r>
        <w:rPr>
          <w:rFonts w:ascii="Calibri" w:hAnsi="Calibri"/>
          <w:sz w:val="22"/>
          <w:szCs w:val="22"/>
        </w:rPr>
        <w:t>;</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Since one of priorities in Shelter response is roofing frames, it was agreed to organize a Technical Working Group (TWG) within the Shelter Sector. The first TWG meeting was scheduled on 29 September at 14h at kitchen space at EOC.</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In addition to Roofing frames, Training materials and uniformity of NFI packages will be discussed by the group.</w:t>
      </w:r>
    </w:p>
    <w:p w:rsidR="007A628F" w:rsidRDefault="007A628F" w:rsidP="007A628F">
      <w:pPr>
        <w:pStyle w:val="ListParagraph"/>
        <w:rPr>
          <w:rFonts w:ascii="Calibri" w:hAnsi="Calibri"/>
          <w:sz w:val="22"/>
          <w:szCs w:val="22"/>
        </w:rPr>
      </w:pPr>
    </w:p>
    <w:p w:rsidR="007A628F" w:rsidRDefault="007A628F" w:rsidP="007A628F">
      <w:pPr>
        <w:rPr>
          <w:rFonts w:ascii="Calibri" w:hAnsi="Calibri"/>
          <w:b/>
          <w:bCs/>
          <w:sz w:val="22"/>
          <w:szCs w:val="22"/>
        </w:rPr>
      </w:pPr>
      <w:r>
        <w:rPr>
          <w:rFonts w:ascii="Calibri" w:hAnsi="Calibri"/>
          <w:b/>
          <w:bCs/>
          <w:sz w:val="22"/>
          <w:szCs w:val="22"/>
        </w:rPr>
        <w:t>Collective Centers;</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IOM DTM team visited 14 Collective centers (Shelters) in Roseau. 407 people (ages 13 to 78) were staying at 11 Collective centers while 3 centers were destroyed.</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Hygienic condition was relatively okay as people kept the places clean. Toilets were not damaged but their roofs were. However, people got diarrhea and some other sickness probably because of drinking water from rivers or natural fountains.     </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There has been no NFI distribution nor mosquito nets in those centers (as of 28 September).</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IOM plan to collect more data in coordination with the Government, numerators and amateur radio associations.     </w:t>
      </w:r>
    </w:p>
    <w:p w:rsidR="007A628F" w:rsidRDefault="007A628F" w:rsidP="007A628F">
      <w:pPr>
        <w:rPr>
          <w:rFonts w:ascii="Calibri" w:hAnsi="Calibri"/>
          <w:b/>
          <w:bCs/>
          <w:sz w:val="22"/>
          <w:szCs w:val="22"/>
        </w:rPr>
      </w:pPr>
    </w:p>
    <w:p w:rsidR="007A628F" w:rsidRDefault="007A628F" w:rsidP="007A628F">
      <w:pPr>
        <w:rPr>
          <w:rFonts w:ascii="Calibri" w:hAnsi="Calibri"/>
          <w:b/>
          <w:bCs/>
          <w:sz w:val="22"/>
          <w:szCs w:val="22"/>
        </w:rPr>
      </w:pPr>
      <w:r>
        <w:rPr>
          <w:rFonts w:ascii="Calibri" w:hAnsi="Calibri"/>
          <w:b/>
          <w:bCs/>
          <w:sz w:val="22"/>
          <w:szCs w:val="22"/>
        </w:rPr>
        <w:t>Next meeting/AOB;</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Next Shelter meeting is to be confirmed (30 September at 14h at kitchen space at EOC).</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 xml:space="preserve">The next WASH meeting is 29 September on at 15h at kitchen space at EOC. </w:t>
      </w: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Strategy for distribution of relief goods document prepared by the Government of Dominica was shared (attached).   </w:t>
      </w:r>
    </w:p>
    <w:p w:rsidR="007A628F" w:rsidRDefault="007A628F" w:rsidP="007A628F">
      <w:pPr>
        <w:rPr>
          <w:rFonts w:ascii="Calibri" w:hAnsi="Calibri"/>
          <w:b/>
          <w:bCs/>
          <w:sz w:val="22"/>
          <w:szCs w:val="22"/>
        </w:rPr>
      </w:pPr>
    </w:p>
    <w:p w:rsidR="007A628F" w:rsidRDefault="007A628F" w:rsidP="007A628F">
      <w:pPr>
        <w:numPr>
          <w:ilvl w:val="0"/>
          <w:numId w:val="2"/>
        </w:numPr>
        <w:rPr>
          <w:rFonts w:ascii="Calibri" w:eastAsia="Times New Roman" w:hAnsi="Calibri"/>
          <w:b/>
          <w:bCs/>
          <w:sz w:val="22"/>
          <w:szCs w:val="22"/>
        </w:rPr>
      </w:pPr>
      <w:r>
        <w:rPr>
          <w:rFonts w:ascii="Calibri" w:eastAsia="Times New Roman" w:hAnsi="Calibri"/>
          <w:sz w:val="22"/>
          <w:szCs w:val="22"/>
        </w:rPr>
        <w:t>For Shelter/Non-Food Item Tracking, OCHA and WFP asked partners to fill in the following links.</w:t>
      </w:r>
      <w:r>
        <w:rPr>
          <w:rFonts w:ascii="Calibri" w:eastAsia="Times New Roman" w:hAnsi="Calibri"/>
          <w:b/>
          <w:bCs/>
          <w:sz w:val="22"/>
          <w:szCs w:val="22"/>
        </w:rPr>
        <w:t xml:space="preserve">  </w:t>
      </w:r>
    </w:p>
    <w:p w:rsidR="007A628F" w:rsidRDefault="007A628F" w:rsidP="007A628F">
      <w:pPr>
        <w:rPr>
          <w:sz w:val="21"/>
          <w:szCs w:val="21"/>
        </w:rPr>
      </w:pPr>
    </w:p>
    <w:tbl>
      <w:tblPr>
        <w:tblW w:w="9080" w:type="dxa"/>
        <w:tblCellMar>
          <w:left w:w="0" w:type="dxa"/>
          <w:right w:w="0" w:type="dxa"/>
        </w:tblCellMar>
        <w:tblLook w:val="04A0" w:firstRow="1" w:lastRow="0" w:firstColumn="1" w:lastColumn="0" w:noHBand="0" w:noVBand="1"/>
      </w:tblPr>
      <w:tblGrid>
        <w:gridCol w:w="955"/>
        <w:gridCol w:w="8771"/>
      </w:tblGrid>
      <w:tr w:rsidR="007A628F" w:rsidTr="007A628F">
        <w:trPr>
          <w:trHeight w:val="549"/>
        </w:trPr>
        <w:tc>
          <w:tcPr>
            <w:tcW w:w="1141"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hideMark/>
          </w:tcPr>
          <w:p w:rsidR="007A628F" w:rsidRPr="007A628F" w:rsidRDefault="007A628F">
            <w:pPr>
              <w:pStyle w:val="NormalWeb"/>
              <w:spacing w:before="0" w:beforeAutospacing="0" w:after="0" w:afterAutospacing="0"/>
              <w:rPr>
                <w:sz w:val="18"/>
                <w:szCs w:val="18"/>
              </w:rPr>
            </w:pPr>
            <w:r w:rsidRPr="007A628F">
              <w:rPr>
                <w:rFonts w:ascii="Arial" w:hAnsi="Arial" w:cs="Arial"/>
                <w:color w:val="000000"/>
                <w:sz w:val="18"/>
                <w:szCs w:val="18"/>
              </w:rPr>
              <w:t>Logistics tracking</w:t>
            </w:r>
            <w:r w:rsidRPr="007A628F">
              <w:rPr>
                <w:rFonts w:ascii="Arial" w:hAnsi="Arial" w:cs="Arial"/>
                <w:color w:val="000000"/>
                <w:sz w:val="18"/>
                <w:szCs w:val="18"/>
              </w:rPr>
              <w:br/>
              <w:t>(WFP)</w:t>
            </w:r>
          </w:p>
        </w:tc>
        <w:tc>
          <w:tcPr>
            <w:tcW w:w="7939" w:type="dxa"/>
            <w:tcBorders>
              <w:top w:val="single" w:sz="8" w:space="0" w:color="000000"/>
              <w:left w:val="nil"/>
              <w:bottom w:val="single" w:sz="8" w:space="0" w:color="000000"/>
              <w:right w:val="single" w:sz="8" w:space="0" w:color="000000"/>
            </w:tcBorders>
            <w:tcMar>
              <w:top w:w="170" w:type="dxa"/>
              <w:left w:w="170" w:type="dxa"/>
              <w:bottom w:w="170" w:type="dxa"/>
              <w:right w:w="170" w:type="dxa"/>
            </w:tcMar>
            <w:hideMark/>
          </w:tcPr>
          <w:p w:rsidR="007A628F" w:rsidRDefault="007A628F">
            <w:pPr>
              <w:pStyle w:val="NormalWeb"/>
              <w:spacing w:before="0" w:beforeAutospacing="0" w:after="0" w:afterAutospacing="0"/>
              <w:rPr>
                <w:sz w:val="21"/>
                <w:szCs w:val="21"/>
              </w:rPr>
            </w:pPr>
            <w:hyperlink r:id="rId5" w:anchor="gid=468918244" w:history="1">
              <w:r>
                <w:rPr>
                  <w:rStyle w:val="Hyperlink"/>
                  <w:rFonts w:ascii="Calibri" w:hAnsi="Calibri"/>
                  <w:color w:val="1155CC"/>
                  <w:sz w:val="21"/>
                  <w:szCs w:val="21"/>
                </w:rPr>
                <w:t>https://docs.google.com/spreadsheets/d/1rwb9c4CFA_PTYqB7l4WDQ2iLfJV3flqoMBsFzI3HyaI/edit#gid=468918244</w:t>
              </w:r>
            </w:hyperlink>
          </w:p>
        </w:tc>
      </w:tr>
      <w:tr w:rsidR="007A628F" w:rsidTr="007A628F">
        <w:trPr>
          <w:trHeight w:val="351"/>
        </w:trPr>
        <w:tc>
          <w:tcPr>
            <w:tcW w:w="1141" w:type="dxa"/>
            <w:tcBorders>
              <w:top w:val="nil"/>
              <w:left w:val="single" w:sz="8" w:space="0" w:color="000000"/>
              <w:bottom w:val="single" w:sz="8" w:space="0" w:color="000000"/>
              <w:right w:val="single" w:sz="8" w:space="0" w:color="000000"/>
            </w:tcBorders>
            <w:tcMar>
              <w:top w:w="170" w:type="dxa"/>
              <w:left w:w="170" w:type="dxa"/>
              <w:bottom w:w="170" w:type="dxa"/>
              <w:right w:w="170" w:type="dxa"/>
            </w:tcMar>
            <w:hideMark/>
          </w:tcPr>
          <w:p w:rsidR="007A628F" w:rsidRPr="007A628F" w:rsidRDefault="007A628F">
            <w:pPr>
              <w:pStyle w:val="NormalWeb"/>
              <w:spacing w:before="0" w:beforeAutospacing="0" w:after="0" w:afterAutospacing="0"/>
              <w:rPr>
                <w:sz w:val="18"/>
                <w:szCs w:val="18"/>
              </w:rPr>
            </w:pPr>
            <w:r w:rsidRPr="007A628F">
              <w:rPr>
                <w:rFonts w:ascii="Arial" w:hAnsi="Arial" w:cs="Arial"/>
                <w:color w:val="000000"/>
                <w:sz w:val="18"/>
                <w:szCs w:val="18"/>
              </w:rPr>
              <w:t>Pipeline of incoming aid</w:t>
            </w:r>
          </w:p>
        </w:tc>
        <w:tc>
          <w:tcPr>
            <w:tcW w:w="7939" w:type="dxa"/>
            <w:tcBorders>
              <w:top w:val="nil"/>
              <w:left w:val="nil"/>
              <w:bottom w:val="single" w:sz="8" w:space="0" w:color="000000"/>
              <w:right w:val="single" w:sz="8" w:space="0" w:color="000000"/>
            </w:tcBorders>
            <w:tcMar>
              <w:top w:w="170" w:type="dxa"/>
              <w:left w:w="170" w:type="dxa"/>
              <w:bottom w:w="170" w:type="dxa"/>
              <w:right w:w="170" w:type="dxa"/>
            </w:tcMar>
            <w:hideMark/>
          </w:tcPr>
          <w:p w:rsidR="007A628F" w:rsidRDefault="007A628F">
            <w:pPr>
              <w:pStyle w:val="NormalWeb"/>
              <w:spacing w:before="0" w:beforeAutospacing="0" w:after="0" w:afterAutospacing="0"/>
              <w:rPr>
                <w:sz w:val="21"/>
                <w:szCs w:val="21"/>
              </w:rPr>
            </w:pPr>
            <w:hyperlink r:id="rId6" w:history="1">
              <w:r>
                <w:rPr>
                  <w:rStyle w:val="Hyperlink"/>
                  <w:rFonts w:ascii="Calibri" w:hAnsi="Calibri"/>
                  <w:color w:val="1155CC"/>
                  <w:sz w:val="21"/>
                  <w:szCs w:val="21"/>
                </w:rPr>
                <w:t>https://docs.google.com/spreadsheets/d/1yt5cLwsZT5IoC18Qp5XS_qGvq1YC6ekXLWL4wFmv_10/edit?usp=sharing</w:t>
              </w:r>
            </w:hyperlink>
          </w:p>
        </w:tc>
      </w:tr>
    </w:tbl>
    <w:p w:rsidR="007A628F" w:rsidRDefault="007A628F" w:rsidP="007A628F">
      <w:pPr>
        <w:rPr>
          <w:rFonts w:ascii="Calibri" w:hAnsi="Calibri"/>
          <w:sz w:val="21"/>
          <w:szCs w:val="21"/>
        </w:rPr>
      </w:pPr>
    </w:p>
    <w:p w:rsidR="007A628F" w:rsidRDefault="007A628F" w:rsidP="007A628F">
      <w:pPr>
        <w:numPr>
          <w:ilvl w:val="0"/>
          <w:numId w:val="2"/>
        </w:numPr>
        <w:rPr>
          <w:rFonts w:ascii="Calibri" w:eastAsia="Times New Roman" w:hAnsi="Calibri"/>
          <w:sz w:val="22"/>
          <w:szCs w:val="22"/>
        </w:rPr>
      </w:pPr>
      <w:r>
        <w:rPr>
          <w:rFonts w:ascii="Calibri" w:eastAsia="Times New Roman" w:hAnsi="Calibri"/>
          <w:sz w:val="22"/>
          <w:szCs w:val="22"/>
        </w:rPr>
        <w:t>Those links are also found in Dominica Useful links</w:t>
      </w:r>
    </w:p>
    <w:p w:rsidR="0014408E" w:rsidRPr="007A628F" w:rsidRDefault="007A628F" w:rsidP="007A628F">
      <w:pPr>
        <w:ind w:firstLine="360"/>
        <w:rPr>
          <w:rFonts w:ascii="Calibri" w:hAnsi="Calibri"/>
          <w:b/>
          <w:bCs/>
          <w:sz w:val="22"/>
          <w:szCs w:val="22"/>
        </w:rPr>
      </w:pPr>
      <w:hyperlink r:id="rId7" w:history="1">
        <w:r>
          <w:rPr>
            <w:rStyle w:val="Hyperlink"/>
            <w:rFonts w:ascii="Calibri" w:hAnsi="Calibri"/>
            <w:sz w:val="22"/>
            <w:szCs w:val="22"/>
          </w:rPr>
          <w:t>https://docs.google.com/document/d/1GxXMT-r9z71GP1p7J_cIT4exzkoJQOtpF1-wWvXfIKY/edit</w:t>
        </w:r>
      </w:hyperlink>
      <w:bookmarkStart w:id="0" w:name="_GoBack"/>
      <w:bookmarkEnd w:id="0"/>
    </w:p>
    <w:sectPr w:rsidR="0014408E" w:rsidRPr="007A628F" w:rsidSect="000D3582">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modern"/>
    <w:pitch w:val="fixed"/>
    <w:sig w:usb0="00000001" w:usb1="08070000" w:usb2="00000010" w:usb3="00000000" w:csb0="00020000" w:csb1="00000000"/>
  </w:font>
  <w:font w:name="Yu Mincho">
    <w:altName w:val="MS 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B75"/>
    <w:multiLevelType w:val="hybridMultilevel"/>
    <w:tmpl w:val="A044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6318B6"/>
    <w:multiLevelType w:val="hybridMultilevel"/>
    <w:tmpl w:val="5556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BB3ABB"/>
    <w:multiLevelType w:val="hybridMultilevel"/>
    <w:tmpl w:val="EA76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8C2EC5"/>
    <w:multiLevelType w:val="hybridMultilevel"/>
    <w:tmpl w:val="74B6E278"/>
    <w:lvl w:ilvl="0" w:tplc="F2E26112">
      <w:start w:val="1"/>
      <w:numFmt w:val="bullet"/>
      <w:lvlText w:val="-"/>
      <w:lvlJc w:val="left"/>
      <w:pPr>
        <w:ind w:left="720" w:hanging="360"/>
      </w:pPr>
      <w:rPr>
        <w:rFonts w:ascii="Calibri" w:eastAsia="Yu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6"/>
    <w:rsid w:val="000D3582"/>
    <w:rsid w:val="0014408E"/>
    <w:rsid w:val="004801ED"/>
    <w:rsid w:val="00644BF4"/>
    <w:rsid w:val="007A628F"/>
    <w:rsid w:val="00843F36"/>
    <w:rsid w:val="00AF1AB9"/>
    <w:rsid w:val="00B6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94CD"/>
  <w15:chartTrackingRefBased/>
  <w15:docId w15:val="{3FB25AD3-5124-46B0-8B03-72AC1AF7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3F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F36"/>
    <w:rPr>
      <w:color w:val="0563C1"/>
      <w:u w:val="single"/>
    </w:rPr>
  </w:style>
  <w:style w:type="paragraph" w:styleId="NormalWeb">
    <w:name w:val="Normal (Web)"/>
    <w:basedOn w:val="Normal"/>
    <w:uiPriority w:val="99"/>
    <w:semiHidden/>
    <w:unhideWhenUsed/>
    <w:rsid w:val="00843F36"/>
    <w:pPr>
      <w:spacing w:before="100" w:beforeAutospacing="1" w:after="100" w:afterAutospacing="1"/>
    </w:pPr>
  </w:style>
  <w:style w:type="paragraph" w:styleId="BalloonText">
    <w:name w:val="Balloon Text"/>
    <w:basedOn w:val="Normal"/>
    <w:link w:val="BalloonTextChar"/>
    <w:uiPriority w:val="99"/>
    <w:semiHidden/>
    <w:unhideWhenUsed/>
    <w:rsid w:val="00644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F4"/>
    <w:rPr>
      <w:rFonts w:ascii="Segoe UI" w:hAnsi="Segoe UI" w:cs="Segoe UI"/>
      <w:sz w:val="18"/>
      <w:szCs w:val="18"/>
    </w:rPr>
  </w:style>
  <w:style w:type="paragraph" w:styleId="ListParagraph">
    <w:name w:val="List Paragraph"/>
    <w:basedOn w:val="Normal"/>
    <w:uiPriority w:val="34"/>
    <w:qFormat/>
    <w:rsid w:val="007A62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043774">
      <w:bodyDiv w:val="1"/>
      <w:marLeft w:val="0"/>
      <w:marRight w:val="0"/>
      <w:marTop w:val="0"/>
      <w:marBottom w:val="0"/>
      <w:divBdr>
        <w:top w:val="none" w:sz="0" w:space="0" w:color="auto"/>
        <w:left w:val="none" w:sz="0" w:space="0" w:color="auto"/>
        <w:bottom w:val="none" w:sz="0" w:space="0" w:color="auto"/>
        <w:right w:val="none" w:sz="0" w:space="0" w:color="auto"/>
      </w:divBdr>
    </w:div>
    <w:div w:id="18611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GxXMT-r9z71GP1p7J_cIT4exzkoJQOtpF1-wWvXfIKY/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yt5cLwsZT5IoC18Qp5XS_qGvq1YC6ekXLWL4wFmv_10/edit?usp=sharing" TargetMode="External"/><Relationship Id="rId5" Type="http://schemas.openxmlformats.org/officeDocument/2006/relationships/hyperlink" Target="https://docs.google.com/spreadsheets/d/1rwb9c4CFA_PTYqB7l4WDQ2iLfJV3flqoMBsFzI3HyaI/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Takuya</dc:creator>
  <cp:keywords/>
  <dc:description/>
  <cp:lastModifiedBy>ONO Takuya</cp:lastModifiedBy>
  <cp:revision>2</cp:revision>
  <cp:lastPrinted>2017-09-27T14:20:00Z</cp:lastPrinted>
  <dcterms:created xsi:type="dcterms:W3CDTF">2017-09-29T21:19:00Z</dcterms:created>
  <dcterms:modified xsi:type="dcterms:W3CDTF">2017-09-29T21:19:00Z</dcterms:modified>
</cp:coreProperties>
</file>